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37" w:rsidRDefault="003D5D37" w:rsidP="003D5D37">
      <w:bookmarkStart w:id="0" w:name="_GoBack"/>
      <w:bookmarkEnd w:id="0"/>
      <w:r>
        <w:t>МЕТОДИЧЕСКИЕ УКАЗАНИЯ к  написанию курсовой работы по второй части гражданского права</w:t>
      </w:r>
    </w:p>
    <w:p w:rsidR="003D5D37" w:rsidRDefault="003D5D37" w:rsidP="003D5D37"/>
    <w:p w:rsidR="003D5D37" w:rsidRDefault="003D5D37" w:rsidP="003D5D37">
      <w:r>
        <w:t xml:space="preserve">  Студенты заочного отделения юридического факультета ННГУ выполняют курсовую работу по второй части гражданского права. </w:t>
      </w:r>
    </w:p>
    <w:p w:rsidR="003D5D37" w:rsidRDefault="003D5D37" w:rsidP="003D5D37">
      <w:r>
        <w:t>Тема определяется в соответствии с номером зачетной книжки: студенты, последняя цифра зачетки которых заканчивается на 1, 2, 3, 4 пишут работу по 1 варианту, если номер заканчивается на 5, 6, 7 - по второму варианту, на 8, 9, 0 - по третьему варианту.</w:t>
      </w:r>
    </w:p>
    <w:p w:rsidR="003D5D37" w:rsidRDefault="003D5D37" w:rsidP="003D5D37">
      <w:r>
        <w:t xml:space="preserve">     Студенты, работающие по юридической специальности и в своей</w:t>
      </w:r>
    </w:p>
    <w:p w:rsidR="003D5D37" w:rsidRDefault="003D5D37" w:rsidP="003D5D37">
      <w:r>
        <w:t>практической деятельности связанные с одним из институтов  II части курса гражданского права, могут по согласованию с преподавателем заменить тему курсовой работы.</w:t>
      </w:r>
    </w:p>
    <w:p w:rsidR="003D5D37" w:rsidRDefault="003D5D37" w:rsidP="003D5D37">
      <w:r>
        <w:t xml:space="preserve">     Подготовку к курсовой работе следует начинать с изучения соот-ветствующей темы по учебнику и нормативным актам, комментариям ко II части ГК РФ, затем обратиться к дополнительной литературе. К каждой теме дан примерный перечень литературных источников, которые могут помочь, более глубокому изучению материала. Их использование возможно лишь в форме цитирования с указанием фамилии автора, наименования работы, года и места издания, страницы. Механическое списывание с учебника и другой литературы недопустимо.</w:t>
      </w:r>
    </w:p>
    <w:p w:rsidR="003D5D37" w:rsidRDefault="003D5D37" w:rsidP="003D5D37">
      <w:r>
        <w:t xml:space="preserve">     Изложение материала необходимо подкреплять ссылками на конкретные нормы правовых источников, постановления Пленумов Верховного Суда и Высшего Арбитражного Суда Российской Федерации, точно указывая наименование нормативного акта или судебного постановления, орган,  принявший его, а  также где он опубликован. </w:t>
      </w:r>
    </w:p>
    <w:p w:rsidR="003D5D37" w:rsidRDefault="003D5D37" w:rsidP="003D5D37">
      <w:r>
        <w:t xml:space="preserve">     В работе должны быть использованы примеры из судебной практики. Их можно найти в различных юридических изданиях – Бюллетене Верховного Суда РФ, Вестнике Высшего Арбитражного Суда РФ, журналах "Хозяйство и право», «Закон», «Российская юстиция», «Интеллектуальная собственность» и других. Студенты, работающие в юридических отделах предприятий, органах суда, прокуратуры, вполне могут использовать примеры из своей практической деятельности. Поощряется стремление студента высказывать собственное мнение по дискуссионным теоретическим и сложным практическим вопросам, что свидетельствует о творческом подходе автора к работе.</w:t>
      </w:r>
    </w:p>
    <w:p w:rsidR="003D5D37" w:rsidRDefault="003D5D37" w:rsidP="003D5D37">
      <w:r>
        <w:t xml:space="preserve">Объем работы - не более 25-30 страниц машинописного текста (приблизительно 30 строк в странице) (допускается и рукописный вариант). </w:t>
      </w:r>
    </w:p>
    <w:p w:rsidR="003D5D37" w:rsidRDefault="003D5D37" w:rsidP="003D5D37">
      <w:r>
        <w:t xml:space="preserve">        Работа  должна иметь поля на каждой странице для замечаний рецензента. В конце работы следует привести список нормативных актов и литературы, фактических использованных при подготовке материала, а не переписывать весь список из задания.</w:t>
      </w:r>
    </w:p>
    <w:p w:rsidR="003D5D37" w:rsidRDefault="003D5D37" w:rsidP="003D5D37">
      <w:r>
        <w:t xml:space="preserve">            Работа, превышающая установленный объем, а также не носящая самостоятельного характера, может быть возвращена рецензентом для переработки.</w:t>
      </w:r>
    </w:p>
    <w:p w:rsidR="003D5D37" w:rsidRDefault="003D5D37" w:rsidP="003D5D37">
      <w:r>
        <w:t xml:space="preserve">            Вариант 1  – Договор комиссии</w:t>
      </w:r>
    </w:p>
    <w:p w:rsidR="003D5D37" w:rsidRDefault="003D5D37" w:rsidP="003D5D37">
      <w:r>
        <w:t xml:space="preserve">            Вариант 2 – Договор банковского кредитования </w:t>
      </w:r>
    </w:p>
    <w:p w:rsidR="003D5D37" w:rsidRDefault="003D5D37" w:rsidP="003D5D37">
      <w:r>
        <w:t xml:space="preserve">            Вариант 3 - Права авторов и их защита</w:t>
      </w:r>
    </w:p>
    <w:p w:rsidR="003D5D37" w:rsidRDefault="003D5D37" w:rsidP="003D5D37"/>
    <w:p w:rsidR="003D5D37" w:rsidRDefault="003D5D37" w:rsidP="003D5D37">
      <w:pPr>
        <w:jc w:val="center"/>
      </w:pPr>
      <w:r>
        <w:t>ВАРИАНТ  1</w:t>
      </w:r>
    </w:p>
    <w:p w:rsidR="003D5D37" w:rsidRDefault="003D5D37" w:rsidP="003D5D37"/>
    <w:p w:rsidR="003D5D37" w:rsidRDefault="003D5D37" w:rsidP="003D5D37">
      <w:pPr>
        <w:jc w:val="center"/>
      </w:pPr>
      <w:r>
        <w:t>ДОГОВОР КОМИССИИ</w:t>
      </w:r>
    </w:p>
    <w:p w:rsidR="003D5D37" w:rsidRDefault="003D5D37" w:rsidP="003D5D37">
      <w:r>
        <w:t>План</w:t>
      </w:r>
    </w:p>
    <w:p w:rsidR="003D5D37" w:rsidRDefault="003D5D37" w:rsidP="003D5D37">
      <w:r>
        <w:t>1.</w:t>
      </w:r>
      <w:r>
        <w:tab/>
        <w:t>Юридическая характеристика договора комиссии. Его    соотношение со смежными договорами ( поручения, агентирования, доверительного управления имуществом)</w:t>
      </w:r>
    </w:p>
    <w:p w:rsidR="003D5D37" w:rsidRDefault="003D5D37" w:rsidP="003D5D37">
      <w:r>
        <w:t>2.</w:t>
      </w:r>
      <w:r>
        <w:tab/>
        <w:t>Исполнение договора комиссии</w:t>
      </w:r>
    </w:p>
    <w:p w:rsidR="003D5D37" w:rsidRDefault="003D5D37" w:rsidP="003D5D37">
      <w:r>
        <w:t>3.</w:t>
      </w:r>
      <w:r>
        <w:tab/>
        <w:t>Прекращение договора комиссии</w:t>
      </w:r>
    </w:p>
    <w:p w:rsidR="003D5D37" w:rsidRDefault="003D5D37" w:rsidP="003D5D37"/>
    <w:p w:rsidR="003D5D37" w:rsidRDefault="003D5D37" w:rsidP="003D5D37">
      <w:r>
        <w:t>Нормативные и иные официальные акты, литература</w:t>
      </w:r>
    </w:p>
    <w:p w:rsidR="003D5D37" w:rsidRDefault="003D5D37" w:rsidP="003D5D37"/>
    <w:p w:rsidR="003D5D37" w:rsidRDefault="003D5D37" w:rsidP="003D5D37">
      <w:r>
        <w:t>1.</w:t>
      </w:r>
      <w:r>
        <w:tab/>
        <w:t>Гражданский кодекс РФ, гл. 51</w:t>
      </w:r>
    </w:p>
    <w:p w:rsidR="003D5D37" w:rsidRDefault="003D5D37" w:rsidP="003D5D37">
      <w:r>
        <w:t>2.</w:t>
      </w:r>
      <w:r>
        <w:tab/>
        <w:t>Информационное письмо Президиума Высшего Арбитражного Суда РФ от 30 июля 2002г. № 68 “О практике применения ч.2 ст.1002 Гражданского кодекса РФ” //  ВВАС РФ, 2002, № 9</w:t>
      </w:r>
    </w:p>
    <w:p w:rsidR="003D5D37" w:rsidRDefault="003D5D37" w:rsidP="003D5D37">
      <w:r>
        <w:t>3.</w:t>
      </w:r>
      <w:r>
        <w:tab/>
        <w:t>Информационное письмо Президиума Высшего Арбитражного Суда РФ от 17 ноября 2004г. № 85 “Обзор практики рассмотрения споров по договору комиссии” // ВВАС РФ, 2005, № 1</w:t>
      </w:r>
    </w:p>
    <w:p w:rsidR="003D5D37" w:rsidRDefault="003D5D37" w:rsidP="003D5D37">
      <w:r>
        <w:t>4.</w:t>
      </w:r>
      <w:r>
        <w:tab/>
        <w:t>Бевзенко Р.С. О правах комитента и комиссионера на неустойку, уплаченную неисправным должником // ВВАС РФ, 2005, № 1</w:t>
      </w:r>
    </w:p>
    <w:p w:rsidR="003D5D37" w:rsidRDefault="003D5D37" w:rsidP="003D5D37">
      <w:r>
        <w:t>5.</w:t>
      </w:r>
      <w:r>
        <w:tab/>
        <w:t>Егоров А.В. К вопросу о правах по сделкам, заключенным комиссионером // ВВАС РФ, 2002, № 1</w:t>
      </w:r>
    </w:p>
    <w:p w:rsidR="003D5D37" w:rsidRDefault="003D5D37" w:rsidP="003D5D37">
      <w:r>
        <w:t>6.</w:t>
      </w:r>
      <w:r>
        <w:tab/>
        <w:t>Егоров А.В. Распределение дополнительной выгоды в договоре комиссии // ВВАС РФ, 2005, № 1</w:t>
      </w:r>
    </w:p>
    <w:p w:rsidR="003D5D37" w:rsidRDefault="003D5D37" w:rsidP="003D5D37">
      <w:r>
        <w:t>7.</w:t>
      </w:r>
      <w:r>
        <w:tab/>
        <w:t>Обсуждение проблемныех вопросов договора комиссии  // ВВАС РФ, 2004, №№ 8, 9</w:t>
      </w:r>
    </w:p>
    <w:p w:rsidR="003D5D37" w:rsidRDefault="003D5D37" w:rsidP="003D5D37">
      <w:r>
        <w:t>8.</w:t>
      </w:r>
      <w:r>
        <w:tab/>
        <w:t>Скороходов С. Последствия недействительности сделок, совешаемых комиссионером // Хозяйство и право, 2003, №1</w:t>
      </w:r>
    </w:p>
    <w:p w:rsidR="003D5D37" w:rsidRDefault="003D5D37" w:rsidP="003D5D37">
      <w:r>
        <w:t>9.</w:t>
      </w:r>
      <w:r>
        <w:tab/>
        <w:t>Скорохов С. Правовой режим вещей, приобретаемых (отчуждаемых) по договору комиссии // Хозяйство и право, 2003, № 11</w:t>
      </w:r>
    </w:p>
    <w:p w:rsidR="003D5D37" w:rsidRDefault="003D5D37" w:rsidP="003D5D37">
      <w:r>
        <w:t>10.</w:t>
      </w:r>
      <w:r>
        <w:tab/>
        <w:t xml:space="preserve">Скороходов С.  О моменте исполнения комиссионером договора комиссии //ВВАС РФ, 2003, № 12 </w:t>
      </w:r>
    </w:p>
    <w:p w:rsidR="003D5D37" w:rsidRDefault="003D5D37" w:rsidP="003D5D37">
      <w:r>
        <w:t>11.</w:t>
      </w:r>
      <w:r>
        <w:tab/>
        <w:t>Скороходов С. Имущественные обязанности комиссионера // Хозяйство и право, 2004, № 4</w:t>
      </w:r>
    </w:p>
    <w:p w:rsidR="003D5D37" w:rsidRDefault="003D5D37" w:rsidP="003D5D37">
      <w:r>
        <w:t>12.</w:t>
      </w:r>
      <w:r>
        <w:tab/>
        <w:t>Сохновский А.Ф. Комиссионная торговля, правовоые вопросы. – М., 1989</w:t>
      </w:r>
    </w:p>
    <w:p w:rsidR="003D5D37" w:rsidRDefault="003D5D37" w:rsidP="003D5D37"/>
    <w:p w:rsidR="003D5D37" w:rsidRDefault="003D5D37" w:rsidP="003D5D37">
      <w:pPr>
        <w:jc w:val="center"/>
      </w:pPr>
      <w:r>
        <w:t>ВАРИАНТ 2</w:t>
      </w:r>
    </w:p>
    <w:p w:rsidR="003D5D37" w:rsidRDefault="003D5D37" w:rsidP="003D5D37"/>
    <w:p w:rsidR="003D5D37" w:rsidRDefault="003D5D37" w:rsidP="003D5D37">
      <w:pPr>
        <w:jc w:val="center"/>
      </w:pPr>
      <w:r>
        <w:t>ДОГОВОР БАНКОВСКОГО КРЕДИТОВАНИЯ</w:t>
      </w:r>
    </w:p>
    <w:p w:rsidR="003D5D37" w:rsidRDefault="003D5D37" w:rsidP="003D5D37">
      <w:r>
        <w:t>План</w:t>
      </w:r>
    </w:p>
    <w:p w:rsidR="003D5D37" w:rsidRDefault="003D5D37" w:rsidP="003D5D37">
      <w:r>
        <w:t>1.</w:t>
      </w:r>
      <w:r>
        <w:tab/>
        <w:t>Юридическая характеристика договора банковского кредитования. Его соотношение со смежными договорами (займа и товарного кредита)</w:t>
      </w:r>
    </w:p>
    <w:p w:rsidR="003D5D37" w:rsidRDefault="003D5D37" w:rsidP="003D5D37">
      <w:r>
        <w:t>2.</w:t>
      </w:r>
      <w:r>
        <w:tab/>
        <w:t>Исполнение договора банковского кредитования</w:t>
      </w:r>
    </w:p>
    <w:p w:rsidR="003D5D37" w:rsidRDefault="003D5D37" w:rsidP="003D5D37">
      <w:r>
        <w:t>3.</w:t>
      </w:r>
      <w:r>
        <w:tab/>
        <w:t>Санкции в договоре банковского кредитования</w:t>
      </w:r>
    </w:p>
    <w:p w:rsidR="003D5D37" w:rsidRDefault="003D5D37" w:rsidP="003D5D37"/>
    <w:p w:rsidR="003D5D37" w:rsidRDefault="003D5D37" w:rsidP="003D5D37">
      <w:r>
        <w:t>Нормативные и иные официальные акты, литература</w:t>
      </w:r>
    </w:p>
    <w:p w:rsidR="003D5D37" w:rsidRDefault="003D5D37" w:rsidP="003D5D37"/>
    <w:p w:rsidR="003D5D37" w:rsidRDefault="003D5D37" w:rsidP="003D5D37">
      <w:r>
        <w:t>1.</w:t>
      </w:r>
      <w:r>
        <w:tab/>
        <w:t>Гражданский кодекс РФ, гл. 42</w:t>
      </w:r>
    </w:p>
    <w:p w:rsidR="003D5D37" w:rsidRDefault="003D5D37" w:rsidP="003D5D37">
      <w:r>
        <w:t>2.</w:t>
      </w:r>
      <w:r>
        <w:tab/>
        <w:t>Закон РФ от 2 декабря 1990г. (с изм. и доп.) «О Центральном банке Российской Федерации» // СЗ РФ 1995, № 18; 1996, № 1, 26; 1997, № 9, 18; 1998, № 10, 31; 1999, № 28</w:t>
      </w:r>
    </w:p>
    <w:p w:rsidR="003D5D37" w:rsidRDefault="003D5D37" w:rsidP="003D5D37">
      <w:r>
        <w:t>3.</w:t>
      </w:r>
      <w:r>
        <w:tab/>
        <w:t>Закон РФ от 2 декабря 1990г. (с изм. и доп.) «О банках и банковской деятельности» // СЗ РФ 1996, № 6; 1998, № 31; 1999, № 28; 2001, № 26; 2002, № 12; 2006, № 31 (ч.1)</w:t>
      </w:r>
    </w:p>
    <w:p w:rsidR="003D5D37" w:rsidRDefault="003D5D37" w:rsidP="003D5D37">
      <w:r>
        <w:t>4.</w:t>
      </w:r>
      <w:r>
        <w:tab/>
        <w:t>Постановление № 13/14 от 8 октября 1998г. (с изм. и доп.)  Пленумов Верховного Суда РФ и Высшего Арбитражного Суда РФ «О практике применения положений Гражданского кодекса РФ о процентах за пользование чужими денежными средствами» // БВС 1998, № 12; 2001, № 3</w:t>
      </w:r>
    </w:p>
    <w:p w:rsidR="003D5D37" w:rsidRDefault="003D5D37" w:rsidP="003D5D37">
      <w:r>
        <w:t>5.</w:t>
      </w:r>
      <w:r>
        <w:tab/>
        <w:t>Витрянский В.В. Обязательство коммерческого кредита // Хозяйство и право, 2004, № 3</w:t>
      </w:r>
    </w:p>
    <w:p w:rsidR="003D5D37" w:rsidRDefault="003D5D37" w:rsidP="003D5D37">
      <w:r>
        <w:t>6.</w:t>
      </w:r>
      <w:r>
        <w:tab/>
        <w:t>Витрянский В.В. Категория «кредит» и «кредитные правоотношения» в гражданском праве // Хозяйство и право, 2004, № 9</w:t>
      </w:r>
    </w:p>
    <w:p w:rsidR="003D5D37" w:rsidRDefault="003D5D37" w:rsidP="003D5D37">
      <w:r>
        <w:t>7.</w:t>
      </w:r>
      <w:r>
        <w:tab/>
        <w:t>Вятчин В., Кривоногова Т. Из практики применения Арбитражным судом Астраханской области отдельных положений законодательства об обеспечении исполнения обязательств при рассмотрении споров, вытекающих из договоров займа и кредита // ВВАС РФ, 1998, № 7</w:t>
      </w:r>
    </w:p>
    <w:p w:rsidR="003D5D37" w:rsidRDefault="003D5D37" w:rsidP="003D5D37">
      <w:r>
        <w:t>8.</w:t>
      </w:r>
      <w:r>
        <w:tab/>
        <w:t>Наумова Л. Существенные условия кредитного договора // Хозяйство и право, 2003, № 12</w:t>
      </w:r>
    </w:p>
    <w:p w:rsidR="003D5D37" w:rsidRDefault="003D5D37" w:rsidP="003D5D37">
      <w:r>
        <w:t>9.</w:t>
      </w:r>
      <w:r>
        <w:tab/>
        <w:t xml:space="preserve">Рожкова М. Внедоговорное обязательство по уплате процентов за пользование чужими денежными средствами // Хозяйство и право, 2005, № 9 </w:t>
      </w:r>
    </w:p>
    <w:p w:rsidR="003D5D37" w:rsidRDefault="003D5D37" w:rsidP="003D5D37">
      <w:r>
        <w:t>10.</w:t>
      </w:r>
      <w:r>
        <w:tab/>
        <w:t>Степанюк А.В., Договор займа: Лекция / Под ред. профессора Н.М.Коршунова. – М., 2001</w:t>
      </w:r>
    </w:p>
    <w:p w:rsidR="003D5D37" w:rsidRDefault="003D5D37" w:rsidP="003D5D37">
      <w:r>
        <w:t>11.</w:t>
      </w:r>
      <w:r>
        <w:tab/>
        <w:t>Эрделевский А.М. Финансовые услуги, вексель, недвижимость: анализ и комментарий законодательства и судебной практики – М., 1999 (глава 1, параграф 5 «Кредитный договор»)</w:t>
      </w:r>
    </w:p>
    <w:p w:rsidR="003D5D37" w:rsidRDefault="003D5D37" w:rsidP="003D5D37"/>
    <w:p w:rsidR="003D5D37" w:rsidRDefault="003D5D37" w:rsidP="003D5D37">
      <w:pPr>
        <w:jc w:val="center"/>
      </w:pPr>
      <w:r>
        <w:t>ВАРИАНТ 3</w:t>
      </w:r>
    </w:p>
    <w:p w:rsidR="003D5D37" w:rsidRPr="003D5D37" w:rsidRDefault="003D5D37" w:rsidP="003D5D37"/>
    <w:p w:rsidR="003D5D37" w:rsidRPr="003D5D37" w:rsidRDefault="003D5D37" w:rsidP="003D5D37">
      <w:pPr>
        <w:jc w:val="center"/>
      </w:pPr>
      <w:r w:rsidRPr="003D5D37">
        <w:t>ПРАВА АВТОРОВ И ИХ ЗАЩИТА</w:t>
      </w:r>
    </w:p>
    <w:p w:rsidR="003D5D37" w:rsidRDefault="003D5D37" w:rsidP="003D5D37">
      <w:r>
        <w:t>План</w:t>
      </w:r>
    </w:p>
    <w:p w:rsidR="003D5D37" w:rsidRDefault="003D5D37" w:rsidP="003D5D37"/>
    <w:p w:rsidR="003D5D37" w:rsidRDefault="003D5D37" w:rsidP="003D5D37">
      <w:r>
        <w:t>1. Личные неимущественные права авторов</w:t>
      </w:r>
    </w:p>
    <w:p w:rsidR="003D5D37" w:rsidRDefault="003D5D37" w:rsidP="003D5D37">
      <w:r>
        <w:t>2. Имущественные права авторов</w:t>
      </w:r>
    </w:p>
    <w:p w:rsidR="003D5D37" w:rsidRDefault="003D5D37" w:rsidP="003D5D37">
      <w:r>
        <w:t>3. Порядок и способы защиты авторских прав</w:t>
      </w:r>
    </w:p>
    <w:p w:rsidR="003D5D37" w:rsidRDefault="003D5D37" w:rsidP="003D5D37"/>
    <w:p w:rsidR="003D5D37" w:rsidRDefault="003D5D37" w:rsidP="003D5D37">
      <w:r>
        <w:t>Нормативные и иные официальные акты, литература</w:t>
      </w:r>
    </w:p>
    <w:p w:rsidR="003D5D37" w:rsidRDefault="003D5D37" w:rsidP="003D5D37"/>
    <w:p w:rsidR="003D5D37" w:rsidRDefault="003D5D37" w:rsidP="003D5D37">
      <w:r>
        <w:t>1. Бернская конвенция об охране литературных и художественных произведений  // Сборник нормативных актов "Права на результаты интеллектуальной деятельности". Составитель В.А. Дозорцев. М.,  1994. (Далее – сборник B.А.Дозорцева)</w:t>
      </w:r>
    </w:p>
    <w:p w:rsidR="003D5D37" w:rsidRDefault="003D5D37" w:rsidP="003D5D37">
      <w:r>
        <w:t>2. Всемирная конвенция об авторском праве  // СП СССР, 1973, №24 или Сборник В.А.Дозорцева</w:t>
      </w:r>
    </w:p>
    <w:p w:rsidR="003D5D37" w:rsidRDefault="003D5D37" w:rsidP="003D5D37">
      <w:r>
        <w:t>3. Соглашение СНГ от 24 сентября 1993г. о сотрудничестве в области охраны авторского права и смежных прав //Сборник В.А.Дозорцева</w:t>
      </w:r>
    </w:p>
    <w:p w:rsidR="003D5D37" w:rsidRDefault="003D5D37" w:rsidP="003D5D37">
      <w:r>
        <w:t>4. Закон РФ "Об авторском праве и смежных правах" // Ведомости РФ, 1993, N32; СЗ РФ, 1995, №30; 2004, № 30</w:t>
      </w:r>
    </w:p>
    <w:p w:rsidR="00672199" w:rsidRDefault="003D5D37" w:rsidP="003D5D37">
      <w:r>
        <w:t>5.Постановление Правительства РФ от 21 марта 1994 "О минимальных ставках авторского вознаграждения за некоторые виды использования произведений литературы и искусства" // СА РФ, 1996, № 3</w:t>
      </w:r>
    </w:p>
    <w:sectPr w:rsidR="0067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37"/>
    <w:rsid w:val="00047ED5"/>
    <w:rsid w:val="0006613E"/>
    <w:rsid w:val="00066841"/>
    <w:rsid w:val="00076D25"/>
    <w:rsid w:val="00085951"/>
    <w:rsid w:val="000A43B0"/>
    <w:rsid w:val="000A7719"/>
    <w:rsid w:val="000E7FCE"/>
    <w:rsid w:val="001A160C"/>
    <w:rsid w:val="001C1A1A"/>
    <w:rsid w:val="001D2DF7"/>
    <w:rsid w:val="001D78AC"/>
    <w:rsid w:val="00211BA4"/>
    <w:rsid w:val="00211CB0"/>
    <w:rsid w:val="002147AD"/>
    <w:rsid w:val="00280C4E"/>
    <w:rsid w:val="002A4E98"/>
    <w:rsid w:val="002E1BA6"/>
    <w:rsid w:val="00300466"/>
    <w:rsid w:val="00331F97"/>
    <w:rsid w:val="0034463F"/>
    <w:rsid w:val="00367726"/>
    <w:rsid w:val="00373EF8"/>
    <w:rsid w:val="00391EE4"/>
    <w:rsid w:val="00393479"/>
    <w:rsid w:val="003A202E"/>
    <w:rsid w:val="003D5D37"/>
    <w:rsid w:val="003F1A7C"/>
    <w:rsid w:val="003F5EB2"/>
    <w:rsid w:val="00415DE7"/>
    <w:rsid w:val="00455075"/>
    <w:rsid w:val="00460C5D"/>
    <w:rsid w:val="004809DC"/>
    <w:rsid w:val="004E0F00"/>
    <w:rsid w:val="004E3FB8"/>
    <w:rsid w:val="00510339"/>
    <w:rsid w:val="005529DD"/>
    <w:rsid w:val="00554D2F"/>
    <w:rsid w:val="00570150"/>
    <w:rsid w:val="0057571F"/>
    <w:rsid w:val="00593696"/>
    <w:rsid w:val="00597C19"/>
    <w:rsid w:val="005A1994"/>
    <w:rsid w:val="005A2B90"/>
    <w:rsid w:val="005A567B"/>
    <w:rsid w:val="005B5C2F"/>
    <w:rsid w:val="005C6040"/>
    <w:rsid w:val="005D4E9D"/>
    <w:rsid w:val="00605FE5"/>
    <w:rsid w:val="00621F4E"/>
    <w:rsid w:val="00654261"/>
    <w:rsid w:val="00672199"/>
    <w:rsid w:val="00695C42"/>
    <w:rsid w:val="006A1D54"/>
    <w:rsid w:val="006C2BA6"/>
    <w:rsid w:val="006E0965"/>
    <w:rsid w:val="007157B2"/>
    <w:rsid w:val="0072593E"/>
    <w:rsid w:val="007C3C82"/>
    <w:rsid w:val="0081193C"/>
    <w:rsid w:val="00812EB5"/>
    <w:rsid w:val="00844616"/>
    <w:rsid w:val="008642F8"/>
    <w:rsid w:val="008914C6"/>
    <w:rsid w:val="008A194A"/>
    <w:rsid w:val="008C1335"/>
    <w:rsid w:val="008C1ACB"/>
    <w:rsid w:val="008F39D4"/>
    <w:rsid w:val="00902949"/>
    <w:rsid w:val="0091456E"/>
    <w:rsid w:val="00937C59"/>
    <w:rsid w:val="0094050F"/>
    <w:rsid w:val="00950B1A"/>
    <w:rsid w:val="0095128C"/>
    <w:rsid w:val="00957920"/>
    <w:rsid w:val="00960678"/>
    <w:rsid w:val="00962A30"/>
    <w:rsid w:val="009659BE"/>
    <w:rsid w:val="00986490"/>
    <w:rsid w:val="009B0A84"/>
    <w:rsid w:val="009B2418"/>
    <w:rsid w:val="009C5EEE"/>
    <w:rsid w:val="009D56EC"/>
    <w:rsid w:val="009F0573"/>
    <w:rsid w:val="009F59AA"/>
    <w:rsid w:val="00A305D9"/>
    <w:rsid w:val="00A46203"/>
    <w:rsid w:val="00A4728D"/>
    <w:rsid w:val="00A8629E"/>
    <w:rsid w:val="00A907DD"/>
    <w:rsid w:val="00A93EF4"/>
    <w:rsid w:val="00AA3862"/>
    <w:rsid w:val="00AA400D"/>
    <w:rsid w:val="00AD6E6C"/>
    <w:rsid w:val="00B02DB9"/>
    <w:rsid w:val="00B1339E"/>
    <w:rsid w:val="00B63E0B"/>
    <w:rsid w:val="00B8158B"/>
    <w:rsid w:val="00B84D63"/>
    <w:rsid w:val="00B921AD"/>
    <w:rsid w:val="00BA0793"/>
    <w:rsid w:val="00BC51D3"/>
    <w:rsid w:val="00C02A50"/>
    <w:rsid w:val="00C52B49"/>
    <w:rsid w:val="00C64494"/>
    <w:rsid w:val="00C66A88"/>
    <w:rsid w:val="00CA71BE"/>
    <w:rsid w:val="00CB0A47"/>
    <w:rsid w:val="00CE324B"/>
    <w:rsid w:val="00D035DB"/>
    <w:rsid w:val="00D110B7"/>
    <w:rsid w:val="00D20A8C"/>
    <w:rsid w:val="00D20EAB"/>
    <w:rsid w:val="00D40D25"/>
    <w:rsid w:val="00D47816"/>
    <w:rsid w:val="00D755AA"/>
    <w:rsid w:val="00DA1CFF"/>
    <w:rsid w:val="00DB506B"/>
    <w:rsid w:val="00DB6D5D"/>
    <w:rsid w:val="00DC0619"/>
    <w:rsid w:val="00E358C4"/>
    <w:rsid w:val="00E45BCA"/>
    <w:rsid w:val="00E67027"/>
    <w:rsid w:val="00E90876"/>
    <w:rsid w:val="00ED017A"/>
    <w:rsid w:val="00ED5B55"/>
    <w:rsid w:val="00EE57AE"/>
    <w:rsid w:val="00F61BC9"/>
    <w:rsid w:val="00F635E3"/>
    <w:rsid w:val="00F70B0D"/>
    <w:rsid w:val="00FA6109"/>
    <w:rsid w:val="00FD2537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Александр</cp:lastModifiedBy>
  <cp:revision>2</cp:revision>
  <dcterms:created xsi:type="dcterms:W3CDTF">2016-02-03T15:27:00Z</dcterms:created>
  <dcterms:modified xsi:type="dcterms:W3CDTF">2016-02-03T15:27:00Z</dcterms:modified>
</cp:coreProperties>
</file>